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0" w:type="auto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1"/>
        <w:gridCol w:w="5619"/>
      </w:tblGrid>
      <w:tr>
        <w:tc>
          <w:tcPr>
            <w:tcW w:w="4841" w:type="dxa"/>
            <w:vAlign w:val="center"/>
          </w:tcPr>
          <w:p>
            <w:pPr>
              <w:jc w:val="left"/>
            </w:pPr>
            <w:r>
              <w:drawing>
                <wp:inline distT="0" distB="0" distL="0" distR="0">
                  <wp:extent cx="2909418" cy="1911903"/>
                  <wp:effectExtent l="0" t="0" r="0" b="0"/>
                  <wp:docPr id="1073741825" name="officeArt object" descr="UA@2x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UA@2x.png" descr="UA@2x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26" t="0" r="28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418" cy="191190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>
                            <a:outerShdw sx="100000" sy="100000" kx="0" ky="0" algn="b" rotWithShape="0" blurRad="254000" dist="127000" dir="1620000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>
            <w:pPr>
              <w:pStyle w:val="Title"/>
              <w:spacing w:after="360"/>
              <w:jc w:val="center"/>
              <w:rPr>
                <w:rFonts w:ascii="Arial" w:cs="Arial" w:hAnsi="Arial" w:eastAsia="Arial"/>
                <w:sz w:val="48"/>
                <w:szCs w:val="48"/>
              </w:rPr>
            </w:pPr>
            <w:r>
              <w:rPr>
                <w:rFonts w:ascii="Arial" w:hAnsi="Arial" w:hint="default"/>
                <w:outline w:val="0"/>
                <w:color w:val="ff1a00"/>
                <w:sz w:val="48"/>
                <w:szCs w:val="48"/>
                <w:u w:color="2f5496"/>
                <w:rtl w:val="0"/>
                <w14:textFill>
                  <w14:solidFill>
                    <w14:srgbClr w14:val="FF1A00"/>
                  </w14:solidFill>
                </w14:textFill>
              </w:rPr>
              <w:t>Увага</w:t>
            </w:r>
            <w:r>
              <w:rPr>
                <w:rFonts w:ascii="Arial" w:hAnsi="Arial"/>
                <w:outline w:val="0"/>
                <w:color w:val="ff1a00"/>
                <w:sz w:val="48"/>
                <w:szCs w:val="48"/>
                <w:u w:color="2f5496"/>
                <w:rtl w:val="0"/>
                <w:lang w:val="ru-RU"/>
                <w14:textFill>
                  <w14:solidFill>
                    <w14:srgbClr w14:val="FF1A00"/>
                  </w14:solidFill>
                </w14:textFill>
              </w:rPr>
              <w:t>!</w:t>
            </w:r>
          </w:p>
          <w:p>
            <w:pPr>
              <w:pStyle w:val="Normal (Web)"/>
              <w:spacing w:before="0" w:after="300" w:line="420" w:lineRule="atLeast"/>
              <w:jc w:val="center"/>
              <w:rPr>
                <w:rFonts w:ascii="Calibri" w:cs="Calibri" w:hAnsi="Calibri" w:eastAsia="Calibri"/>
                <w:b w:val="1"/>
                <w:bCs w:val="1"/>
                <w:sz w:val="24"/>
                <w:szCs w:val="24"/>
              </w:rPr>
            </w:pP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Учнів 1-11 класів та вчителів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 запрошуємо брати участь у конкурсах 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  <w:br/>
              <w:t xml:space="preserve">«Брейн Ринг 2026 - Осіння сесія»</w:t>
              <w:br/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>для учнів 1-11 класів.</w:t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 w:hint="default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  <w:r>
              <w:rPr>
                <w:rFonts w:ascii="Calibri" w:hAnsi="Calibri"/>
                <w:b w:val="1"/>
                <w:bCs w:val="1"/>
                <w:sz w:val="36"/>
                <w:szCs w:val="36"/>
                <w:rtl w:val="0"/>
                <w:lang w:val="en-US"/>
              </w:rPr>
              <w:t xml:space="preserve"/>
            </w:r>
          </w:p>
        </w:tc>
      </w:tr>
    </w:tbl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br w:type="textWrapping" w:clear="all"/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🗓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Участь у конкурсах </w:t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>«Брейн Ринг 2026 - Осіння сесія»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можлива в будь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-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який час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з 1 до 30 листопада 2026 р.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включно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🌟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5 конкурсів з таких предметів: українська мова і література, англійська мова, математика, інформатика та біологія (природознавство).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32"/>
          <w:szCs w:val="32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32"/>
          <w:szCs w:val="32"/>
          <w:rtl w:val="0"/>
          <w:lang w:val="en-US"/>
        </w:rPr>
        <w:t xml:space="preserve"/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🎯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Мета конкурсів – підвищення мотивації учнів до навчання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Завдання різної складності відповідають навчальній програмі та поділені на 11 рівнів, що відповідають класам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🕒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4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>5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хвилин на виконання всіх завдань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(1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урок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).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🏆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Переможці номінацій отримують цінні призи.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💵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Вчителі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-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куратори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які зареєструють своїх учнів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отримають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електронний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сертифікат організатора конкурсів та грошову компенсацію до 30% від суми внесків, залежно від кількості зареєстрованих учнів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🥇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Вчителі учасників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які отримають дипломи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1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–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3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ступенів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отримають електронні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свідоцтва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які підтверджують ці досягнення учнів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🏡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Учні можуть брати участь у будь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-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який зручний час не тільки в школі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а й удома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тому дистанційне навчання – не перешкода для участі у конкурсах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🖥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  <w:lang w:val="en-US"/>
        </w:rPr>
        <w:t>️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 Участь у конкурсах проходить на сайті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www.brainring.com.ua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💰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Вартість участі одного учня в конкурсах — </w:t>
      </w:r>
      <w:r>
        <w:rPr>
          <w:rFonts w:ascii="Calibri" w:hAnsi="Calibri"/>
          <w:b w:val="1"/>
          <w:bCs w:val="1"/>
          <w:sz w:val="32"/>
          <w:szCs w:val="32"/>
          <w:rtl w:val="0"/>
          <w:lang w:val="ru-RU"/>
        </w:rPr>
        <w:t>100 грн</w:t>
      </w:r>
      <w:r>
        <w:rPr>
          <w:rFonts w:ascii="Calibri" w:hAnsi="Calibri"/>
          <w:b w:val="1"/>
          <w:bCs w:val="1"/>
          <w:sz w:val="32"/>
          <w:szCs w:val="32"/>
          <w:rtl w:val="0"/>
          <w:lang w:val="ru-RU"/>
        </w:rPr>
        <w:t>.</w:t>
      </w:r>
    </w:p>
    <w:p>
      <w:pPr>
        <w:pStyle w:val="Normal (Web)"/>
        <w:spacing w:before="0" w:after="120" w:line="300" w:lineRule="atLeast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📧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Служба підтримки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: </w:t>
      </w:r>
      <w:r>
        <w:rPr>
          <w:rFonts w:ascii="Calibri" w:hAnsi="Calibri"/>
          <w:b w:val="1"/>
          <w:bCs w:val="1"/>
          <w:outline w:val="0"/>
          <w:color w:val="0008ff"/>
          <w:sz w:val="30"/>
          <w:szCs w:val="30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info@brainring.com.ua</w:t>
      </w:r>
    </w:p>
    <w:p>
      <w:pPr>
        <w:pStyle w:val="Normal (Web)"/>
        <w:spacing w:before="0" w:after="120" w:line="300" w:lineRule="atLeast"/>
        <w:jc w:val="both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 xml:space="preserve">🔗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6"/>
          <w:szCs w:val="26"/>
          <w:rtl w:val="0"/>
          <w:lang w:val="en-US"/>
        </w:rPr>
        <w:t xml:space="preserve"/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ru-RU"/>
        </w:rPr>
        <w:t>Р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еєстрація на участь в конкурсах</w:t>
      </w:r>
      <w:r>
        <w:rPr>
          <w:rFonts w:ascii="Calibri" w:hAnsi="Calibri"/>
          <w:b w:val="1"/>
          <w:bCs w:val="1"/>
          <w:sz w:val="26"/>
          <w:szCs w:val="26"/>
          <w:rtl w:val="0"/>
          <w:lang w:val="ru-RU"/>
        </w:rPr>
        <w:t xml:space="preserve">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та докладніше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: </w:t>
      </w:r>
      <w:r>
        <w:rPr>
          <w:rFonts w:ascii="Calibri" w:hAnsi="Calibri"/>
          <w:b w:val="1"/>
          <w:bCs w:val="1"/>
          <w:outline w:val="0"/>
          <w:color w:val="0008ff"/>
          <w:sz w:val="32"/>
          <w:szCs w:val="32"/>
          <w:u w:color="0008ff"/>
          <w:rtl w:val="0"/>
          <w:lang w:val="en-US"/>
          <w14:textFill>
            <w14:solidFill>
              <w14:srgbClr w14:val="0008FF"/>
            </w14:solidFill>
          </w14:textFill>
        </w:rPr>
        <w:t xml:space="preserve">www.brainring.com.ua</w:t>
      </w:r>
    </w:p>
    <w:sectPr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