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Įprastasis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en-US"/>
        </w:rPr>
        <w:t>Шановна адміністрація</w:t>
      </w:r>
      <w:r>
        <w:rPr>
          <w:sz w:val="40"/>
          <w:szCs w:val="40"/>
          <w:rtl w:val="0"/>
          <w:lang w:val="en-US"/>
        </w:rPr>
        <w:t>!</w:t>
      </w:r>
      <w:r>
        <w:rPr>
          <w:sz w:val="40"/>
          <w:szCs w:val="40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450850</wp:posOffset>
            </wp:positionH>
            <wp:positionV relativeFrom="line">
              <wp:posOffset>450925</wp:posOffset>
            </wp:positionV>
            <wp:extent cx="2968981" cy="1947649"/>
            <wp:effectExtent l="0" t="0" r="0" b="0"/>
            <wp:wrapSquare wrapText="bothSides" distL="152400" distR="152400" distT="152400" distB="152400"/>
            <wp:docPr id="1073741825" name="officeArt object" descr="logo-ua-500-optimize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ua-500-optimized.png" descr="logo-ua-500-optimized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981" cy="19476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Įprastasis"/>
        <w:jc w:val="both"/>
        <w:rPr>
          <w:outline w:val="0"/>
          <w:color w:val="000000"/>
          <w:sz w:val="30"/>
          <w:szCs w:val="3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Запрошуємо учнів 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11 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класів і їхніх вчителів взяти участь у </w:t>
      </w:r>
      <w:r>
        <w:rPr>
          <w:b w:val="1"/>
          <w:bCs w:val="1"/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Міжнародних дистанційних освітніх конкурсах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sz w:val="30"/>
          <w:szCs w:val="30"/>
          <w:rtl w:val="0"/>
          <w:lang w:val="en-US"/>
        </w:rPr>
        <w:t>«Брейн Ринг 2026 - Весняна сесія»</w:t>
      </w:r>
      <w:r>
        <w:rPr>
          <w:outline w:val="0"/>
          <w:color w:val="000000"/>
          <w:sz w:val="30"/>
          <w:szCs w:val="3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jc w:val="both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sz w:val="26"/>
          <w:szCs w:val="26"/>
          <w:rtl w:val="0"/>
          <w:lang w:val="en-US"/>
        </w:rPr>
        <w:t xml:space="preserve">З 1 до 31 березня 2026 р.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відбудуться </w:t>
      </w:r>
      <w:r>
        <w:rPr>
          <w:b w:val="1"/>
          <w:bCs w:val="1"/>
          <w:sz w:val="26"/>
          <w:szCs w:val="26"/>
          <w:rtl w:val="0"/>
          <w:lang w:val="en-US"/>
        </w:rPr>
        <w:t>5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конкурсів з таких предметів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українська мова і література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англійська мова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математика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інформатика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біологія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природознавство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).</w:t>
      </w:r>
    </w:p>
    <w:p>
      <w:pPr>
        <w:pStyle w:val="Įprastasis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Мета конкурсів – </w:t>
      </w:r>
      <w:r>
        <w:rPr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підвищення мотивації учнів до навчання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Це не олімпіада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конкурсах є завдання різної складності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тому в них можуть брати участь всі учні без винятку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Завдання конкурсів відповідають українським навчальним програмам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Ознайомитися з прикладами завдань можна в демонстраційній версії конкурсів на сайті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"https://www.brainring.com.ua"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www.brainring.com.ua</w:t>
      </w:r>
      <w:r>
        <w:rPr/>
        <w:fldChar w:fldCharType="end" w:fldLock="0"/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Įprastasis"/>
        <w:jc w:val="both"/>
        <w:rPr>
          <w:rStyle w:val="None"/>
          <w:sz w:val="26"/>
          <w:szCs w:val="26"/>
          <w:lang w:val="ru-RU"/>
        </w:rPr>
      </w:pP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Всі учасники конкурсів отримають іменні електронні дипломи та грамоти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Куратори конкурсів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які зареєструють учнів і оплатять їхню участь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отримають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>електронний сертифікат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організатора конкурсів та грошову компенсацію до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30%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від суми внесків за участь у вигляді знижки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Вчителі учасників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які отримають дипломи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—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3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ступенів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отримають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електронні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відоцтва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які підтверджують ці досягнення учнів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outline w:val="0"/>
          <w:color w:val="00000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60288" behindDoc="0" locked="0" layoutInCell="1" allowOverlap="1">
                <wp:simplePos x="0" y="0"/>
                <wp:positionH relativeFrom="page">
                  <wp:posOffset>308292</wp:posOffset>
                </wp:positionH>
                <wp:positionV relativeFrom="line">
                  <wp:posOffset>269071</wp:posOffset>
                </wp:positionV>
                <wp:extent cx="7155834" cy="1800889"/>
                <wp:effectExtent l="0" t="0" r="0" b="0"/>
                <wp:wrapSquare wrapText="bothSides" distL="114300" distR="114300" distT="114300" distB="114300"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834" cy="1800889"/>
                          <a:chOff x="0" y="0"/>
                          <a:chExt cx="7155833" cy="1800888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 rot="5400000">
                            <a:off x="2711131" y="-2711132"/>
                            <a:ext cx="1733572" cy="7155834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38100" cap="flat">
                            <a:solidFill>
                              <a:srgbClr val="FFC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Просимо Вас поінформувати про конкурси учнів і вчителів такими способами:…"/>
                        <wps:cNvSpPr txBox="1"/>
                        <wps:spPr>
                          <a:xfrm>
                            <a:off x="64763" y="105414"/>
                            <a:ext cx="7026297" cy="169547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     Просимо Вас поінформувати про конкурси учнів і вчителів такими способами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Вивісити одне оголошення на дошці оголошень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Вивісити друге оголошення в учительській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Опублікувати інформацію про конкурси на сайті школи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1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Якщо школа користується ел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.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щоденником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поінформувати вчителів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учнів і батьків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4.3pt;margin-top:21.2pt;width:563.5pt;height:141.8pt;z-index:251660288;mso-position-horizontal:absolute;mso-position-horizontal-relative:page;mso-position-vertical:absolute;mso-position-vertical-relative:line;mso-wrap-distance-left:9.0pt;mso-wrap-distance-top:9.0pt;mso-wrap-distance-right:9.0pt;mso-wrap-distance-bottom:9.0pt;" coordorigin="0,-1" coordsize="7155834,1800889">
                <w10:wrap type="square" side="bothSides" anchorx="page"/>
                <v:rect id="_x0000_s1027" style="position:absolute;left:2711132;top:-2711132;width:1733571;height:7155834;rotation:5898240fd;">
                  <v:fill color="#FFF2CC" opacity="100.0%" type="solid"/>
                  <v:stroke filltype="solid" color="#FFC000" opacity="100.0%" weight="3.0pt" dashstyle="dash" endcap="flat" joinstyle="round" linestyle="single" startarrow="none" startarrowwidth="medium" startarrowlength="medium" endarrow="none" endarrowwidth="medium" endarrowlength="medium"/>
                </v:rect>
                <v:shape id="_x0000_s1028" type="#_x0000_t202" style="position:absolute;left:64764;top:105415;width:7026296;height:1695473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     Просимо Вас поінформувати про конкурси учнів і вчителів такими способами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: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Вивісити одне оголошення на дошці оголошень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Вивісити друге оголошення в учительській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Опублікувати інформацію про конкурси на сайті школи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1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Якщо школа користується ел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.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щоденником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поінформувати вчителів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учнів і батьків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spacing w:before="160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Конкурси </w:t>
      </w:r>
      <w:r>
        <w:rPr>
          <w:rStyle w:val="None"/>
          <w:sz w:val="26"/>
          <w:szCs w:val="26"/>
          <w:rtl w:val="0"/>
          <w:lang w:val="en-US"/>
        </w:rPr>
        <w:t>«Брейн Ринг 2026 - Весняна сесія»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відбуватимуться </w:t>
      </w:r>
      <w:r>
        <w:rPr>
          <w:rStyle w:val="None"/>
          <w:b w:val="1"/>
          <w:bCs w:val="1"/>
          <w:sz w:val="26"/>
          <w:szCs w:val="26"/>
          <w:rtl w:val="0"/>
          <w:lang w:val="en-US"/>
        </w:rPr>
        <w:t>1-31 березня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на сайті </w:t>
      </w:r>
      <w:r>
        <w:rPr>
          <w:rStyle w:val="Hyperlink.1"/>
          <w:outline w:val="0"/>
          <w:color w:val="277dd1"/>
          <w:sz w:val="26"/>
          <w:szCs w:val="26"/>
          <w:u w:val="single" w:color="5b9bd5"/>
          <w:lang w:val="en-US"/>
          <w14:textFill>
            <w14:solidFill>
              <w14:srgbClr w14:val="277DD1"/>
            </w14:solidFill>
          </w14:textFill>
        </w:rPr>
        <w:fldChar w:fldCharType="begin" w:fldLock="0"/>
      </w:r>
      <w:r>
        <w:rPr>
          <w:rStyle w:val="Hyperlink.1"/>
          <w:outline w:val="0"/>
          <w:color w:val="277dd1"/>
          <w:sz w:val="26"/>
          <w:szCs w:val="26"/>
          <w:u w:val="single" w:color="5b9bd5"/>
          <w:lang w:val="en-US"/>
          <w14:textFill>
            <w14:solidFill>
              <w14:srgbClr w14:val="277DD1"/>
            </w14:solidFill>
          </w14:textFill>
        </w:rPr>
        <w:instrText xml:space="preserve"> HYPERLINK "https://www.brainring.com.ua"</w:instrText>
      </w:r>
      <w:r>
        <w:rPr>
          <w:rStyle w:val="Hyperlink.1"/>
          <w:outline w:val="0"/>
          <w:color w:val="277dd1"/>
          <w:sz w:val="26"/>
          <w:szCs w:val="26"/>
          <w:u w:val="single" w:color="5b9bd5"/>
          <w:lang w:val="en-US"/>
          <w14:textFill>
            <w14:solidFill>
              <w14:srgbClr w14:val="277DD1"/>
            </w14:solidFill>
          </w14:textFill>
        </w:rPr>
        <w:fldChar w:fldCharType="separate" w:fldLock="0"/>
      </w:r>
      <w:r>
        <w:rPr>
          <w:rStyle w:val="Hyperlink.1"/>
          <w:outline w:val="0"/>
          <w:color w:val="277dd1"/>
          <w:sz w:val="26"/>
          <w:szCs w:val="26"/>
          <w:u w:val="single" w:color="5b9bd5"/>
          <w:rtl w:val="0"/>
          <w:lang w:val="en-US"/>
          <w14:textFill>
            <w14:solidFill>
              <w14:srgbClr w14:val="277DD1"/>
            </w14:solidFill>
          </w14:textFill>
        </w:rPr>
        <w:t>www.brainring.com.ua</w:t>
      </w:r>
      <w:r>
        <w:rPr/>
        <w:fldChar w:fldCharType="end" w:fldLock="0"/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Брати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участь можна в будь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-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який зручний час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  <w:r>
        <w:rPr>
          <w:rStyle w:val="None"/>
          <w:outline w:val="0"/>
          <w:color w:val="00000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61312" behindDoc="0" locked="0" layoutInCell="1" allowOverlap="1">
                <wp:simplePos x="0" y="0"/>
                <wp:positionH relativeFrom="page">
                  <wp:posOffset>308292</wp:posOffset>
                </wp:positionH>
                <wp:positionV relativeFrom="line">
                  <wp:posOffset>337317</wp:posOffset>
                </wp:positionV>
                <wp:extent cx="7155816" cy="650267"/>
                <wp:effectExtent l="0" t="0" r="0" b="0"/>
                <wp:wrapSquare wrapText="bothSides" distL="114300" distR="114300" distT="114300" distB="114300"/>
                <wp:docPr id="1073741831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5816" cy="650267"/>
                          <a:chOff x="1" y="0"/>
                          <a:chExt cx="7155815" cy="650266"/>
                        </a:xfrm>
                      </wpg:grpSpPr>
                      <wps:wsp>
                        <wps:cNvPr id="1073741829" name="Rectangle"/>
                        <wps:cNvSpPr/>
                        <wps:spPr>
                          <a:xfrm rot="5400000">
                            <a:off x="3324615" y="-3324615"/>
                            <a:ext cx="506588" cy="7155816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Конкурси «Брейн Ринг» — дистанційні, учні можуть брати участь у них не тільки в школі, а й вдома, тому дистанційне навчання — не перешкода для участі в конкурсах."/>
                        <wps:cNvSpPr txBox="1"/>
                        <wps:spPr>
                          <a:xfrm>
                            <a:off x="45709" y="1"/>
                            <a:ext cx="7064395" cy="65026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ind w:left="426" w:right="498" w:firstLine="0"/>
                                <w:jc w:val="both"/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Конкурси «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Брейн Ринг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» — дистанційні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учні можуть брати участь у них не тільки в школі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а й вдома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тому </w:t>
                              </w:r>
                              <w:r>
                                <w:rPr>
                                  <w:rStyle w:val="None"/>
                                  <w:b w:val="1"/>
                                  <w:bCs w:val="1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дистанційне навчання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— не перешкода для участі в конкурсах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4.3pt;margin-top:26.6pt;width:563.5pt;height:51.2pt;z-index:251661312;mso-position-horizontal:absolute;mso-position-horizontal-relative:page;mso-position-vertical:absolute;mso-position-vertical-relative:line;mso-wrap-distance-left:9.0pt;mso-wrap-distance-top:9.0pt;mso-wrap-distance-right:9.0pt;mso-wrap-distance-bottom:9.0pt;" coordorigin="1,-1" coordsize="7155816,650267">
                <w10:wrap type="square" side="bothSides" anchorx="page"/>
                <v:rect id="_x0000_s1030" style="position:absolute;left:3324616;top:-3324615;width:506587;height:7155816;rotation:5898240fd;">
                  <v:fill color="#FFD96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202" style="position:absolute;left:45709;top:2;width:7064394;height:650264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ind w:left="426" w:right="498" w:firstLine="0"/>
                          <w:jc w:val="both"/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Конкурси «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Брейн Ринг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» — дистанційні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учні можуть брати участь у них не тільки в школі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а й вдома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тому </w:t>
                        </w:r>
                        <w:r>
                          <w:rPr>
                            <w:rStyle w:val="None"/>
                            <w:b w:val="1"/>
                            <w:bCs w:val="1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дистанційне навчання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— не перешкода для участі в конкурсах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Įprastasis"/>
        <w:spacing w:before="160" w:line="264" w:lineRule="auto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sz w:val="26"/>
          <w:szCs w:val="26"/>
          <w:rtl w:val="0"/>
          <w:lang w:val="en-US"/>
        </w:rPr>
        <w:t>Під час конкурсів буде працювати служба підтримки</w:t>
      </w:r>
      <w:r>
        <w:rPr>
          <w:rStyle w:val="None"/>
          <w:sz w:val="26"/>
          <w:szCs w:val="26"/>
          <w:rtl w:val="0"/>
          <w:lang w:val="en-US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"mailto:info@brainring.com.ua"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info@brainring.com.ua</w:t>
      </w:r>
      <w:r>
        <w:rPr/>
        <w:fldChar w:fldCharType="end" w:fldLock="0"/>
      </w:r>
    </w:p>
    <w:p>
      <w:pPr>
        <w:pStyle w:val="Įprastasis"/>
        <w:spacing w:after="0"/>
        <w:jc w:val="both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Įprastasis"/>
        <w:spacing w:after="0"/>
        <w:jc w:val="both"/>
        <w:rPr>
          <w:rStyle w:val="None"/>
          <w:sz w:val="34"/>
          <w:szCs w:val="34"/>
        </w:rPr>
      </w:pPr>
      <w:r>
        <w:rPr>
          <w:rStyle w:val="None"/>
          <w:sz w:val="26"/>
          <w:szCs w:val="26"/>
          <w:rtl w:val="0"/>
          <w:lang w:val="en-US"/>
        </w:rPr>
        <w:t xml:space="preserve">Загальна вартість участі одного учня в конкурсах </w:t>
      </w:r>
      <w:r>
        <w:rPr>
          <w:rStyle w:val="None"/>
          <w:sz w:val="26"/>
          <w:szCs w:val="26"/>
          <w:rtl w:val="0"/>
          <w:lang w:val="en-US"/>
        </w:rPr>
        <w:t>(</w:t>
      </w:r>
      <w:r>
        <w:rPr>
          <w:rStyle w:val="None"/>
          <w:sz w:val="26"/>
          <w:szCs w:val="26"/>
          <w:rtl w:val="0"/>
          <w:lang w:val="en-US"/>
        </w:rPr>
        <w:t xml:space="preserve">від </w:t>
      </w:r>
      <w:r>
        <w:rPr>
          <w:rStyle w:val="None"/>
          <w:sz w:val="26"/>
          <w:szCs w:val="26"/>
          <w:rtl w:val="0"/>
          <w:lang w:val="en-US"/>
        </w:rPr>
        <w:t xml:space="preserve">1 </w:t>
      </w:r>
      <w:r>
        <w:rPr>
          <w:rStyle w:val="None"/>
          <w:sz w:val="26"/>
          <w:szCs w:val="26"/>
          <w:rtl w:val="0"/>
          <w:lang w:val="en-US"/>
        </w:rPr>
        <w:t xml:space="preserve">до </w:t>
      </w:r>
      <w:r>
        <w:rPr>
          <w:rStyle w:val="None"/>
          <w:sz w:val="26"/>
          <w:szCs w:val="26"/>
          <w:rtl w:val="0"/>
          <w:lang w:val="en-US"/>
        </w:rPr>
        <w:t xml:space="preserve">5 </w:t>
      </w:r>
      <w:r>
        <w:rPr>
          <w:rStyle w:val="None"/>
          <w:sz w:val="26"/>
          <w:szCs w:val="26"/>
          <w:rtl w:val="0"/>
          <w:lang w:val="en-US"/>
        </w:rPr>
        <w:t>конкурсів</w:t>
      </w:r>
      <w:r>
        <w:rPr>
          <w:rStyle w:val="None"/>
          <w:sz w:val="26"/>
          <w:szCs w:val="26"/>
          <w:rtl w:val="0"/>
          <w:lang w:val="en-US"/>
        </w:rPr>
        <w:t xml:space="preserve">) </w:t>
      </w:r>
      <w:r>
        <w:rPr>
          <w:rStyle w:val="None"/>
          <w:sz w:val="26"/>
          <w:szCs w:val="26"/>
          <w:rtl w:val="0"/>
          <w:lang w:val="en-US"/>
        </w:rPr>
        <w:t xml:space="preserve">– </w:t>
      </w:r>
      <w:r>
        <w:rPr>
          <w:rStyle w:val="None"/>
          <w:b w:val="1"/>
          <w:bCs w:val="1"/>
          <w:outline w:val="0"/>
          <w:color w:val="00ac3b"/>
          <w:sz w:val="30"/>
          <w:szCs w:val="30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>100 грн</w:t>
      </w:r>
      <w:r>
        <w:rPr>
          <w:rStyle w:val="None"/>
          <w:b w:val="1"/>
          <w:bCs w:val="1"/>
          <w:outline w:val="0"/>
          <w:color w:val="00ac3b"/>
          <w:sz w:val="26"/>
          <w:szCs w:val="26"/>
          <w:u w:color="ff0000"/>
          <w:rtl w:val="0"/>
          <w:lang w:val="en-US"/>
          <w14:textFill>
            <w14:solidFill>
              <w14:srgbClr w14:val="00AC3B"/>
            </w14:solidFill>
          </w14:textFill>
        </w:rPr>
        <w:t>.</w:t>
      </w:r>
      <w:r>
        <w:rPr>
          <w:rStyle w:val="None"/>
          <w:sz w:val="30"/>
          <w:szCs w:val="30"/>
        </w:rPr>
        <mc:AlternateContent>
          <mc:Choice Requires="wpg">
            <w:drawing xmlns:a="http://schemas.openxmlformats.org/drawingml/2006/main">
              <wp:anchor distT="114300" distB="11430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609599</wp:posOffset>
                </wp:positionV>
                <wp:extent cx="6858023" cy="2044828"/>
                <wp:effectExtent l="0" t="0" r="0" b="0"/>
                <wp:wrapSquare wrapText="bothSides" distL="114300" distR="114300" distT="114300" distB="114300"/>
                <wp:docPr id="1073741834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23" cy="2044828"/>
                          <a:chOff x="0" y="0"/>
                          <a:chExt cx="6858022" cy="2044827"/>
                        </a:xfrm>
                      </wpg:grpSpPr>
                      <wps:wsp>
                        <wps:cNvPr id="1073741832" name="Rectangle"/>
                        <wps:cNvSpPr/>
                        <wps:spPr>
                          <a:xfrm rot="5400000">
                            <a:off x="2406597" y="-2406599"/>
                            <a:ext cx="2044828" cy="6858024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  <a:ln w="38100" cap="flat">
                            <a:solidFill>
                              <a:srgbClr val="FFC000"/>
                            </a:solidFill>
                            <a:prstDash val="dash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Переваги конкурсів «Брейн Ринг»:…"/>
                        <wps:cNvSpPr txBox="1"/>
                        <wps:spPr>
                          <a:xfrm>
                            <a:off x="62072" y="128869"/>
                            <a:ext cx="6733873" cy="178708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Įprastasis"/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     Переваги конкурсів «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ru-RU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Брейн Ринг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»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34"/>
                                  <w:szCs w:val="34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Внесок учасника дає можливість брати участь не в одному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а в усіх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5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конкурсах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Всі учасники отримають іменні грамоти і дипломи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Кураторам не потрібно вводити відповіді учнів або надсилати їх поштою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  <w:p>
                              <w:pPr>
                                <w:pStyle w:val="Įprastasis"/>
                                <w:numPr>
                                  <w:ilvl w:val="0"/>
                                  <w:numId w:val="2"/>
                                </w:numPr>
                                <w:bidi w:val="0"/>
                                <w:ind w:right="0"/>
                                <w:jc w:val="left"/>
                                <w:rPr>
                                  <w:i w:val="1"/>
                                  <w:iCs w:val="1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</w:pP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Куратори отримають сертифікати і компенсацію у вигляді знижки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, 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а вчителі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-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>предметники – свідоцтва</w:t>
                              </w:r>
                              <w:r>
                                <w:rPr>
                                  <w:rStyle w:val="None"/>
                                  <w:i w:val="1"/>
                                  <w:iCs w:val="1"/>
                                  <w:outline w:val="0"/>
                                  <w:color w:val="000000"/>
                                  <w:sz w:val="26"/>
                                  <w:szCs w:val="26"/>
                                  <w:u w:color="000000"/>
                                  <w:rtl w:val="0"/>
                                  <w:lang w:val="en-US"/>
                                  <w14:textFill>
                                    <w14:solidFill>
                                      <w14:srgbClr w14:val="000000"/>
                                    </w14:solidFill>
                                  </w14:textFill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36.0pt;margin-top:48.0pt;width:540.0pt;height:161.0pt;z-index:251659264;mso-position-horizontal:absolute;mso-position-horizontal-relative:page;mso-position-vertical:absolute;mso-position-vertical-relative:page;mso-wrap-distance-left:9.0pt;mso-wrap-distance-top:9.0pt;mso-wrap-distance-right:9.0pt;mso-wrap-distance-bottom:9.0pt;" coordorigin="0,-1" coordsize="6858022,2044828">
                <w10:wrap type="square" side="bothSides" anchorx="page" anchory="page"/>
                <v:rect id="_x0000_s1033" style="position:absolute;left:2406598;top:-2406598;width:2044827;height:6858022;rotation:5898240fd;">
                  <v:fill color="#FFF2CC" opacity="100.0%" type="solid"/>
                  <v:stroke filltype="solid" color="#FFC000" opacity="100.0%" weight="3.0pt" dashstyle="dash" endcap="flat" joinstyle="round" linestyle="single" startarrow="none" startarrowwidth="medium" startarrowlength="medium" endarrow="none" endarrowwidth="medium" endarrowlength="medium"/>
                </v:rect>
                <v:shape id="_x0000_s1034" type="#_x0000_t202" style="position:absolute;left:62072;top:128869;width:6733872;height:178708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Įprastasis"/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     Переваги конкурсів «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ru-RU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Брейн Ринг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»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34"/>
                            <w:szCs w:val="34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: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Внесок учасника дає можливість брати участь не в одному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а в усіх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5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конкурсах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Всі учасники отримають іменні грамоти і дипломи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Кураторам не потрібно вводити відповіді учнів або надсилати їх поштою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.</w:t>
                        </w:r>
                      </w:p>
                      <w:p>
                        <w:pPr>
                          <w:pStyle w:val="Įprastasis"/>
                          <w:numPr>
                            <w:ilvl w:val="0"/>
                            <w:numId w:val="2"/>
                          </w:numPr>
                          <w:bidi w:val="0"/>
                          <w:ind w:right="0"/>
                          <w:jc w:val="left"/>
                          <w:rPr>
                            <w:i w:val="1"/>
                            <w:iCs w:val="1"/>
                            <w:sz w:val="26"/>
                            <w:szCs w:val="26"/>
                            <w:rtl w:val="0"/>
                            <w:lang w:val="en-US"/>
                          </w:rPr>
                        </w:pP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Куратори отримають сертифікати і компенсацію у вигляді знижки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, 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а вчителі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-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>предметники – свідоцтва</w:t>
                        </w:r>
                        <w:r>
                          <w:rPr>
                            <w:rStyle w:val="None"/>
                            <w:i w:val="1"/>
                            <w:iCs w:val="1"/>
                            <w:outline w:val="0"/>
                            <w:color w:val="000000"/>
                            <w:sz w:val="26"/>
                            <w:szCs w:val="26"/>
                            <w:u w:color="000000"/>
                            <w:rtl w:val="0"/>
                            <w:lang w:val="en-US"/>
                            <w14:textFill>
                              <w14:solidFill>
                                <w14:srgbClr w14:val="000000"/>
                              </w14:solidFill>
                            </w14:textFill>
                          </w:rPr>
                          <w:t xml:space="preserve">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Style w:val="None"/>
          <w:sz w:val="30"/>
          <w:szCs w:val="30"/>
        </w:rPr>
        <w:br w:type="textWrapping"/>
      </w:r>
    </w:p>
    <w:p>
      <w:pPr>
        <w:pStyle w:val="Įprastasis"/>
        <w:jc w:val="both"/>
        <w:rPr>
          <w:rStyle w:val="None"/>
          <w:sz w:val="26"/>
          <w:szCs w:val="26"/>
        </w:rPr>
      </w:pPr>
      <w:r>
        <w:rPr>
          <w:rStyle w:val="None"/>
          <w:sz w:val="34"/>
          <w:szCs w:val="34"/>
          <w:rtl w:val="0"/>
          <w:lang w:val="en-US"/>
        </w:rPr>
        <w:t>Компенсація для кураторів</w:t>
      </w:r>
    </w:p>
    <w:p>
      <w:pPr>
        <w:pStyle w:val="Įprastasis"/>
        <w:spacing w:before="100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Щоб компенсувати витрати часу кураторів на організацію конкурсів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до </w:t>
      </w:r>
      <w:r>
        <w:rPr>
          <w:rStyle w:val="None"/>
          <w:b w:val="1"/>
          <w:bCs w:val="1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30%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від суми внесків за участь використовується як компенсація для кураторів у вигляді знижки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Розмір компенсації залежить від кількості учнів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які зареєстровані куратором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: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чим більше учнів зареєструє куратор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тим більший відсоток компенсації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tbl>
      <w:tblPr>
        <w:tblW w:w="10799" w:type="dxa"/>
        <w:jc w:val="center"/>
        <w:tblInd w:w="162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87"/>
        <w:gridCol w:w="6112"/>
      </w:tblGrid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Кількість учнів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Розмір компенсації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1-9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5%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10-24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10%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25-49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15%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50-74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20%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75-99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25%</w:t>
            </w:r>
          </w:p>
        </w:tc>
      </w:tr>
      <w:tr>
        <w:tblPrEx>
          <w:shd w:val="clear" w:color="auto" w:fill="ced7e7"/>
        </w:tblPrEx>
        <w:trPr>
          <w:trHeight w:val="273" w:hRule="atLeast"/>
        </w:trPr>
        <w:tc>
          <w:tcPr>
            <w:tcW w:type="dxa" w:w="468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 xml:space="preserve">100 </w:t>
            </w:r>
            <w:r>
              <w:rPr>
                <w:rStyle w:val="None"/>
                <w:b w:val="1"/>
                <w:bCs w:val="1"/>
                <w:sz w:val="26"/>
                <w:szCs w:val="26"/>
                <w:shd w:val="nil" w:color="auto" w:fill="auto"/>
                <w:rtl w:val="0"/>
                <w:lang w:val="en-US"/>
              </w:rPr>
              <w:t>і більше</w:t>
            </w:r>
          </w:p>
        </w:tc>
        <w:tc>
          <w:tcPr>
            <w:tcW w:type="dxa" w:w="6112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Įprastasis"/>
              <w:spacing w:after="0" w:line="312" w:lineRule="atLeast"/>
              <w:jc w:val="center"/>
            </w:pPr>
            <w:r>
              <w:rPr>
                <w:rStyle w:val="None"/>
                <w:sz w:val="26"/>
                <w:szCs w:val="26"/>
                <w:shd w:val="nil" w:color="auto" w:fill="auto"/>
                <w:rtl w:val="0"/>
                <w:lang w:val="en-US"/>
              </w:rPr>
              <w:t>30%</w:t>
            </w:r>
          </w:p>
        </w:tc>
      </w:tr>
    </w:tbl>
    <w:p>
      <w:pPr>
        <w:pStyle w:val="Įprastasis"/>
        <w:widowControl w:val="0"/>
        <w:spacing w:before="100" w:line="240" w:lineRule="auto"/>
        <w:ind w:left="1512" w:hanging="1512"/>
        <w:jc w:val="center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Įprastasis"/>
        <w:spacing w:before="100" w:after="0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Розмір компенсації вираховується автоматично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В рахунку на оплату сума вказується з урахуванням компенсації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</w:t>
      </w:r>
    </w:p>
    <w:p>
      <w:pPr>
        <w:pStyle w:val="Įprastasis"/>
        <w:spacing w:after="0"/>
        <w:jc w:val="both"/>
        <w:rPr>
          <w:rStyle w:val="None"/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Įprastasis"/>
        <w:spacing w:after="0"/>
        <w:rPr>
          <w:rStyle w:val="None"/>
          <w:sz w:val="26"/>
          <w:szCs w:val="26"/>
        </w:rPr>
      </w:pP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З повагою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None"/>
          <w:outline w:val="0"/>
          <w:color w:val="000000"/>
          <w:sz w:val="26"/>
          <w:szCs w:val="26"/>
          <w:u w:color="000000"/>
          <w:lang w:val="en-US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рганізатори освітніх конкурсів «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Брейн Ринг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»</w:t>
        <w:br w:type="textWrapping"/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Е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л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None"/>
          <w:outline w:val="0"/>
          <w:color w:val="000000"/>
          <w:sz w:val="26"/>
          <w:szCs w:val="26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пошта </w:t>
      </w:r>
      <w:r>
        <w:rPr>
          <w:rStyle w:val="Hyperlink.2"/>
          <w:outline w:val="0"/>
          <w:color w:val="277dd1"/>
          <w:sz w:val="26"/>
          <w:szCs w:val="26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begin" w:fldLock="0"/>
      </w:r>
      <w:r>
        <w:rPr>
          <w:rStyle w:val="Hyperlink.2"/>
          <w:outline w:val="0"/>
          <w:color w:val="277dd1"/>
          <w:sz w:val="26"/>
          <w:szCs w:val="26"/>
          <w:u w:val="single" w:color="277dd1"/>
          <w:lang w:val="en-US"/>
          <w14:textFill>
            <w14:solidFill>
              <w14:srgbClr w14:val="277DD1"/>
            </w14:solidFill>
          </w14:textFill>
        </w:rPr>
        <w:instrText xml:space="preserve"> HYPERLINK "mailto:info@brainring.com.ua"</w:instrText>
      </w:r>
      <w:r>
        <w:rPr>
          <w:rStyle w:val="Hyperlink.2"/>
          <w:outline w:val="0"/>
          <w:color w:val="277dd1"/>
          <w:sz w:val="26"/>
          <w:szCs w:val="26"/>
          <w:u w:val="single" w:color="277dd1"/>
          <w:lang w:val="en-US"/>
          <w14:textFill>
            <w14:solidFill>
              <w14:srgbClr w14:val="277DD1"/>
            </w14:solidFill>
          </w14:textFill>
        </w:rPr>
        <w:fldChar w:fldCharType="separate" w:fldLock="0"/>
      </w:r>
      <w:r>
        <w:rPr>
          <w:rStyle w:val="Hyperlink.2"/>
          <w:outline w:val="0"/>
          <w:color w:val="277dd1"/>
          <w:sz w:val="26"/>
          <w:szCs w:val="26"/>
          <w:u w:val="single" w:color="277dd1"/>
          <w:rtl w:val="0"/>
          <w:lang w:val="en-US"/>
          <w14:textFill>
            <w14:solidFill>
              <w14:srgbClr w14:val="277DD1"/>
            </w14:solidFill>
          </w14:textFill>
        </w:rPr>
        <w:t>info@brainring.com.ua</w:t>
      </w:r>
      <w:r>
        <w:rPr/>
        <w:fldChar w:fldCharType="end" w:fldLock="0"/>
      </w:r>
    </w:p>
    <w:p>
      <w:pPr>
        <w:pStyle w:val="Įprastasis"/>
        <w:spacing w:after="120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Įprastasis"/>
        <w:spacing w:after="0"/>
        <w:jc w:val="center"/>
      </w:pPr>
      <w:r>
        <w:rPr>
          <w:rStyle w:val="None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Докладна інформація про конкурси –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"https://www.brainring.com.ua"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www.brainring.com.ua</w:t>
      </w:r>
      <w:r>
        <w:rPr/>
        <w:fldChar w:fldCharType="end" w:fldLock="0"/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✓"/>
      <w:lvlJc w:val="left"/>
      <w:pPr>
        <w:ind w:left="7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5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Įprastasis">
    <w:name w:val="Įprastasis"/>
    <w:next w:val="Įprastasi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277dd1"/>
      <w:sz w:val="26"/>
      <w:szCs w:val="26"/>
      <w:u w:val="single" w:color="277dd1"/>
      <w14:textFill>
        <w14:solidFill>
          <w14:srgbClr w14:val="277DD1"/>
        </w14:solidFill>
      </w14:textFill>
    </w:rPr>
  </w:style>
  <w:style w:type="character" w:styleId="None A">
    <w:name w:val="None A"/>
  </w:style>
  <w:style w:type="character" w:styleId="Hyperlink.1">
    <w:name w:val="Hyperlink.1"/>
    <w:basedOn w:val="None"/>
    <w:next w:val="Hyperlink.1"/>
    <w:rPr>
      <w:outline w:val="0"/>
      <w:color w:val="277dd1"/>
      <w:sz w:val="26"/>
      <w:szCs w:val="26"/>
      <w:u w:val="single" w:color="5b9bd5"/>
      <w:lang w:val="en-US"/>
      <w14:textFill>
        <w14:solidFill>
          <w14:srgbClr w14:val="277DD1"/>
        </w14:solidFill>
      </w14:textFill>
    </w:rPr>
  </w:style>
  <w:style w:type="character" w:styleId="Hyperlink.2">
    <w:name w:val="Hyperlink.2"/>
    <w:basedOn w:val="None"/>
    <w:next w:val="Hyperlink.2"/>
    <w:rPr>
      <w:outline w:val="0"/>
      <w:color w:val="277dd1"/>
      <w:sz w:val="26"/>
      <w:szCs w:val="26"/>
      <w:u w:val="single" w:color="277dd1"/>
      <w:lang w:val="en-US"/>
      <w14:textFill>
        <w14:solidFill>
          <w14:srgbClr w14:val="277DD1"/>
        </w14:solidFill>
      </w14:textFill>
    </w:rPr>
  </w:style>
  <w:style w:type="character" w:styleId="Hyperlink.3">
    <w:name w:val="Hyperlink.3"/>
    <w:basedOn w:val="None"/>
    <w:next w:val="Hyperlink.3"/>
    <w:rPr>
      <w:rFonts w:ascii="Calibri" w:cs="Calibri" w:hAnsi="Calibri" w:eastAsia="Calibri"/>
      <w:b w:val="1"/>
      <w:bCs w:val="1"/>
      <w:outline w:val="0"/>
      <w:color w:val="00ac3b"/>
      <w:sz w:val="32"/>
      <w:szCs w:val="32"/>
      <w:u w:color="00ac3b"/>
      <w14:textFill>
        <w14:solidFill>
          <w14:srgbClr w14:val="00AC3B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